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hd w:val="clear" w:color="auto" w:fill="FFFFFF"/>
        <w:spacing w:before="0" w:beforeAutospacing="0" w:after="0" w:afterAutospacing="0"/>
        <w:ind w:firstLine="400"/>
        <w:jc w:val="center"/>
        <w:rPr>
          <w:rFonts w:ascii="Helvetica" w:hAnsi="Helvetica"/>
          <w:color w:val="333333"/>
          <w:sz w:val="32"/>
          <w:szCs w:val="32"/>
        </w:rPr>
      </w:pPr>
      <w:r>
        <w:rPr>
          <w:rFonts w:ascii="Helvetica" w:hAnsi="Helvetica"/>
          <w:color w:val="333333"/>
          <w:sz w:val="32"/>
          <w:szCs w:val="32"/>
        </w:rPr>
        <w:t>危险废物</w:t>
      </w:r>
      <w:r>
        <w:rPr>
          <w:rFonts w:hint="eastAsia" w:ascii="Helvetica" w:hAnsi="Helvetica"/>
          <w:color w:val="333333"/>
          <w:sz w:val="32"/>
          <w:szCs w:val="32"/>
        </w:rPr>
        <w:t>入场</w:t>
      </w:r>
      <w:r>
        <w:rPr>
          <w:rFonts w:ascii="Helvetica" w:hAnsi="Helvetica"/>
          <w:color w:val="333333"/>
          <w:sz w:val="32"/>
          <w:szCs w:val="32"/>
        </w:rPr>
        <w:t>分析管理制度</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1）、总则</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为加强公司危险废物的分析和管理，防止公司所接受危险固废未达到公司要求进入企业，实现危险废物分析管理的制度化和标准化。根据《中华人民共和国环境保护法》、《中华人民共和国固体废物污染环境防治法》、安徽省《固体废物环境管理工作手册》等相关法律法规及指导意见，对进入公司待处理危险废物进行检验分析，以确保危险废物得到正确的收集、贮存和利用处置，符合公司的标准化要求。</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2）、适用范围</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适用于本公司收集的待处置危险废物的分析、检验。</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3）、责任人</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分析化验员、计量人员、环保部负责人。</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4）、工作步骤</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4.1）废物入厂确认</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危险废物入厂时，应先核对危险废物标签上的信息与转移联单、经营合同上所列危险废物种类是否一致，如有问题，应根据危险废物标签上所标明联系人取得联系，确认无误才可以进行过磅称重，严禁未标明危险废物标识或危险废物标识信息与转移联单、经营合同所列信息不一致的危险固废进入公司。过磅称量时，计量人员应对危险废物包装容器有无破损、泄露进行检查，发现情况应立即反馈装卸人员，确保做到转移过程中无危险废物洒落、泄露，防止污染环境。</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4.2） 取样方法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危险废物经称重后进入待检测区，根据《工业固体废物采样制样技术规范》HJ/20-1998中要求对危险危险废物进行取样检测，依据不同批次、不同产生日期分别进行定量取样。所取样品应具有代表性、准确性和可靠性。从而获得精确的、可靠的检测分析数据，为危险废物的处理利用做好准备工作。</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4.3） 检测分析方法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结合化验室相配套的化验器材，对样品进行分析</w:t>
      </w:r>
      <w:r>
        <w:rPr>
          <w:rFonts w:hint="eastAsia" w:ascii="Helvetica" w:hAnsi="Helvetica"/>
          <w:color w:val="333333"/>
          <w:sz w:val="28"/>
          <w:szCs w:val="28"/>
        </w:rPr>
        <w:t>二氧化硫、二氧化氮</w:t>
      </w:r>
      <w:r>
        <w:rPr>
          <w:rFonts w:ascii="Helvetica" w:hAnsi="Helvetica"/>
          <w:color w:val="333333"/>
          <w:sz w:val="28"/>
          <w:szCs w:val="28"/>
        </w:rPr>
        <w:t>和</w:t>
      </w:r>
      <w:r>
        <w:rPr>
          <w:rFonts w:hint="eastAsia" w:ascii="Helvetica" w:hAnsi="Helvetica"/>
          <w:color w:val="333333"/>
          <w:sz w:val="28"/>
          <w:szCs w:val="28"/>
        </w:rPr>
        <w:t>硫化氢</w:t>
      </w:r>
      <w:r>
        <w:rPr>
          <w:rFonts w:ascii="Helvetica" w:hAnsi="Helvetica"/>
          <w:color w:val="333333"/>
          <w:sz w:val="28"/>
          <w:szCs w:val="28"/>
        </w:rPr>
        <w:t>含量。危险废物进行综合利用前，必须进行化验分析。实验分析数据提交环保部进行判断是否达到入厂标准，确保被检测样品满足公司标准后才可以进入综合利用系统进行综合处理。常规检测2个指标，分别是</w:t>
      </w:r>
      <w:r>
        <w:rPr>
          <w:rFonts w:hint="eastAsia" w:ascii="Helvetica" w:hAnsi="Helvetica"/>
          <w:color w:val="333333"/>
          <w:sz w:val="28"/>
          <w:szCs w:val="28"/>
        </w:rPr>
        <w:t>二氧化硫、二氧化氮、硫化氢、非甲烷总烃值</w:t>
      </w:r>
      <w:r>
        <w:rPr>
          <w:rFonts w:ascii="Helvetica" w:hAnsi="Helvetica"/>
          <w:color w:val="333333"/>
          <w:sz w:val="28"/>
          <w:szCs w:val="28"/>
        </w:rPr>
        <w:t>。</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4.4） 重复测试频率</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每个样品平行测定3次，测定允许的误差范围在1～1.5%，如超出该范围的，必须重新进行化验分析。</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4.5） 接收标准</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根据化验室所提供的数据，判别是否接收，标准如下：</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hint="eastAsia" w:ascii="Helvetica" w:hAnsi="Helvetica"/>
          <w:color w:val="333333"/>
          <w:sz w:val="28"/>
          <w:szCs w:val="28"/>
        </w:rPr>
        <w:t>二氧化硫</w:t>
      </w:r>
      <w:r>
        <w:rPr>
          <w:rFonts w:ascii="Helvetica" w:hAnsi="Helvetica"/>
          <w:color w:val="333333"/>
          <w:sz w:val="28"/>
          <w:szCs w:val="28"/>
        </w:rPr>
        <w:t>值</w:t>
      </w:r>
      <w:r>
        <w:rPr>
          <w:rFonts w:hint="eastAsia" w:ascii="Helvetica" w:hAnsi="Helvetica"/>
          <w:color w:val="333333"/>
          <w:sz w:val="28"/>
          <w:szCs w:val="28"/>
        </w:rPr>
        <w:t>≤0.5</w:t>
      </w:r>
      <w:r>
        <w:t xml:space="preserve"> </w:t>
      </w:r>
      <w:r>
        <w:rPr>
          <w:rFonts w:ascii="Helvetica" w:hAnsi="Helvetica"/>
          <w:color w:val="333333"/>
          <w:sz w:val="28"/>
          <w:szCs w:val="28"/>
        </w:rPr>
        <w:t>mg/m</w:t>
      </w:r>
      <w:r>
        <w:rPr>
          <w:rFonts w:ascii="Helvetica" w:hAnsi="Helvetica"/>
          <w:color w:val="333333"/>
          <w:sz w:val="28"/>
          <w:szCs w:val="28"/>
          <w:vertAlign w:val="superscript"/>
        </w:rPr>
        <w:t>3</w:t>
      </w:r>
      <w:r>
        <w:rPr>
          <w:rFonts w:ascii="Helvetica" w:hAnsi="Helvetica"/>
          <w:color w:val="333333"/>
          <w:sz w:val="28"/>
          <w:szCs w:val="28"/>
        </w:rPr>
        <w:t>、</w:t>
      </w:r>
      <w:r>
        <w:rPr>
          <w:rFonts w:hint="eastAsia" w:ascii="Helvetica" w:hAnsi="Helvetica"/>
          <w:color w:val="333333"/>
          <w:sz w:val="28"/>
          <w:szCs w:val="28"/>
        </w:rPr>
        <w:t>二氧化氮</w:t>
      </w:r>
      <w:r>
        <w:rPr>
          <w:rFonts w:ascii="Helvetica" w:hAnsi="Helvetica"/>
          <w:color w:val="333333"/>
          <w:sz w:val="28"/>
          <w:szCs w:val="28"/>
        </w:rPr>
        <w:t>值</w:t>
      </w:r>
      <w:r>
        <w:rPr>
          <w:rFonts w:hint="eastAsia" w:ascii="Helvetica" w:hAnsi="Helvetica"/>
          <w:color w:val="333333"/>
          <w:sz w:val="28"/>
          <w:szCs w:val="28"/>
        </w:rPr>
        <w:t>≤0.2</w:t>
      </w:r>
      <w:r>
        <w:t xml:space="preserve"> </w:t>
      </w:r>
      <w:r>
        <w:rPr>
          <w:rFonts w:ascii="Helvetica" w:hAnsi="Helvetica"/>
          <w:color w:val="333333"/>
          <w:sz w:val="28"/>
          <w:szCs w:val="28"/>
        </w:rPr>
        <w:t>mg/m</w:t>
      </w:r>
      <w:r>
        <w:rPr>
          <w:rFonts w:ascii="Helvetica" w:hAnsi="Helvetica"/>
          <w:color w:val="333333"/>
          <w:sz w:val="28"/>
          <w:szCs w:val="28"/>
          <w:vertAlign w:val="superscript"/>
        </w:rPr>
        <w:t>3</w:t>
      </w:r>
      <w:r>
        <w:rPr>
          <w:rFonts w:hint="eastAsia" w:ascii="Helvetica" w:hAnsi="Helvetica"/>
          <w:color w:val="333333"/>
          <w:sz w:val="28"/>
          <w:szCs w:val="28"/>
        </w:rPr>
        <w:t>、硫化氢</w:t>
      </w:r>
      <w:r>
        <w:rPr>
          <w:rFonts w:ascii="Helvetica" w:hAnsi="Helvetica"/>
          <w:color w:val="333333"/>
          <w:sz w:val="28"/>
          <w:szCs w:val="28"/>
        </w:rPr>
        <w:t>值</w:t>
      </w:r>
      <w:r>
        <w:rPr>
          <w:rFonts w:hint="eastAsia" w:ascii="Helvetica" w:hAnsi="Helvetica"/>
          <w:color w:val="333333"/>
          <w:sz w:val="28"/>
          <w:szCs w:val="28"/>
        </w:rPr>
        <w:t>≤0.01</w:t>
      </w:r>
      <w:r>
        <w:rPr>
          <w:rFonts w:ascii="Helvetica" w:hAnsi="Helvetica"/>
          <w:color w:val="333333"/>
          <w:sz w:val="28"/>
          <w:szCs w:val="28"/>
        </w:rPr>
        <w:t>mg/m</w:t>
      </w:r>
      <w:r>
        <w:rPr>
          <w:rFonts w:ascii="Helvetica" w:hAnsi="Helvetica"/>
          <w:color w:val="333333"/>
          <w:sz w:val="28"/>
          <w:szCs w:val="28"/>
          <w:vertAlign w:val="superscript"/>
        </w:rPr>
        <w:t>3</w:t>
      </w:r>
      <w:r>
        <w:rPr>
          <w:rFonts w:hint="eastAsia" w:ascii="Helvetica" w:hAnsi="Helvetica"/>
          <w:color w:val="333333"/>
          <w:sz w:val="28"/>
          <w:szCs w:val="28"/>
        </w:rPr>
        <w:t>、非甲烷总烃值≤0.2</w:t>
      </w:r>
      <w:r>
        <w:t xml:space="preserve"> </w:t>
      </w:r>
      <w:r>
        <w:rPr>
          <w:rFonts w:ascii="Helvetica" w:hAnsi="Helvetica"/>
          <w:color w:val="333333"/>
          <w:sz w:val="28"/>
          <w:szCs w:val="28"/>
        </w:rPr>
        <w:t>mg/m</w:t>
      </w:r>
      <w:r>
        <w:rPr>
          <w:rFonts w:ascii="Helvetica" w:hAnsi="Helvetica"/>
          <w:color w:val="333333"/>
          <w:sz w:val="28"/>
          <w:szCs w:val="28"/>
          <w:vertAlign w:val="superscript"/>
        </w:rPr>
        <w:t>3</w:t>
      </w:r>
      <w:r>
        <w:rPr>
          <w:rFonts w:ascii="Helvetica" w:hAnsi="Helvetica"/>
          <w:color w:val="333333"/>
          <w:sz w:val="28"/>
          <w:szCs w:val="28"/>
        </w:rPr>
        <w:t>；</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达到上述标准后，方可开展装卸工作，装卸前，先确认危险废物的包装容器是否完好，若有破损，必须做好危险废物包装容器的更换工作。装卸时应注意做到无洒落、泄露。</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4.6） 不予接收的退运措施</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针对危险废物各项分析数据经化验分析达不到公司标准的，做退运处理。一定要及时做好情况上报、废物隔离、不合格品标签标出和原因分析这几步骤。然后，第一时间通知危险废物产生单位，并告知其退货原因，让产生单位做好接受危险废物的准备。</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5）、相关法律法规依据</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《中华人民共和国环境保护法》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《中华人民共和国固体废物污染环境防治法》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安徽省《固体废物环境管理工作手册》</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6）、相关记录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《危险废物转移联单》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《危险废物登记管理台账》</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《实验室分析化验数据记录》</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7）、附则</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本规定由公司环保部负责制定、解释</w:t>
      </w:r>
    </w:p>
    <w:p>
      <w:pPr>
        <w:pStyle w:val="17"/>
        <w:shd w:val="clear" w:color="auto" w:fill="FFFFFF"/>
        <w:spacing w:before="0" w:beforeAutospacing="0" w:after="0" w:afterAutospacing="0" w:line="360" w:lineRule="auto"/>
        <w:ind w:firstLine="400"/>
        <w:rPr>
          <w:rFonts w:ascii="Helvetica" w:hAnsi="Helvetica"/>
          <w:color w:val="333333"/>
          <w:sz w:val="28"/>
          <w:szCs w:val="28"/>
        </w:rPr>
      </w:pPr>
      <w:r>
        <w:rPr>
          <w:rFonts w:ascii="Helvetica" w:hAnsi="Helvetica"/>
          <w:color w:val="333333"/>
          <w:sz w:val="28"/>
          <w:szCs w:val="28"/>
        </w:rPr>
        <w:t>本规定自发布之日起实施</w:t>
      </w:r>
    </w:p>
    <w:p>
      <w:pPr>
        <w:spacing w:line="360" w:lineRule="auto"/>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F0"/>
    <w:rsid w:val="004132F0"/>
    <w:rsid w:val="00427DE8"/>
    <w:rsid w:val="00842861"/>
    <w:rsid w:val="00845D8A"/>
    <w:rsid w:val="009A418C"/>
    <w:rsid w:val="00A63C23"/>
    <w:rsid w:val="00B85A5C"/>
    <w:rsid w:val="00E51319"/>
    <w:rsid w:val="00EA3B3E"/>
    <w:rsid w:val="00F530B8"/>
    <w:rsid w:val="6F80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120" w:after="120" w:line="680" w:lineRule="exact"/>
      <w:jc w:val="center"/>
      <w:outlineLvl w:val="0"/>
    </w:pPr>
    <w:rPr>
      <w:rFonts w:ascii="黑体" w:hAnsi="Times New Roman" w:eastAsia="楷体_GB2312" w:cs="Times New Roman"/>
      <w:b/>
      <w:kern w:val="44"/>
      <w:sz w:val="32"/>
      <w:szCs w:val="20"/>
    </w:rPr>
  </w:style>
  <w:style w:type="paragraph" w:styleId="3">
    <w:name w:val="heading 2"/>
    <w:basedOn w:val="1"/>
    <w:next w:val="1"/>
    <w:link w:val="33"/>
    <w:qFormat/>
    <w:uiPriority w:val="0"/>
    <w:pPr>
      <w:keepNext/>
      <w:keepLines/>
      <w:tabs>
        <w:tab w:val="left" w:pos="985"/>
      </w:tabs>
      <w:spacing w:beforeLines="50" w:afterLines="50" w:line="640" w:lineRule="exact"/>
      <w:jc w:val="left"/>
      <w:outlineLvl w:val="1"/>
    </w:pPr>
    <w:rPr>
      <w:rFonts w:ascii="黑体" w:hAnsi="Arial" w:eastAsia="黑体" w:cs="Times New Roman"/>
      <w:sz w:val="28"/>
      <w:szCs w:val="20"/>
    </w:rPr>
  </w:style>
  <w:style w:type="paragraph" w:styleId="4">
    <w:name w:val="heading 3"/>
    <w:basedOn w:val="1"/>
    <w:next w:val="1"/>
    <w:link w:val="28"/>
    <w:qFormat/>
    <w:uiPriority w:val="0"/>
    <w:pPr>
      <w:keepNext/>
      <w:keepLines/>
      <w:tabs>
        <w:tab w:val="left" w:pos="510"/>
      </w:tabs>
      <w:spacing w:line="640" w:lineRule="exact"/>
      <w:contextualSpacing/>
      <w:outlineLvl w:val="2"/>
    </w:pPr>
    <w:rPr>
      <w:rFonts w:ascii="黑体" w:hAnsi="Times New Roman" w:eastAsia="黑体"/>
      <w:sz w:val="28"/>
      <w:szCs w:val="20"/>
    </w:rPr>
  </w:style>
  <w:style w:type="paragraph" w:styleId="5">
    <w:name w:val="heading 4"/>
    <w:basedOn w:val="1"/>
    <w:next w:val="1"/>
    <w:link w:val="34"/>
    <w:qFormat/>
    <w:uiPriority w:val="0"/>
    <w:pPr>
      <w:keepNext/>
      <w:tabs>
        <w:tab w:val="right" w:pos="525"/>
        <w:tab w:val="left" w:pos="1418"/>
      </w:tabs>
      <w:adjustRightInd w:val="0"/>
      <w:snapToGrid w:val="0"/>
      <w:spacing w:line="680" w:lineRule="exact"/>
      <w:outlineLvl w:val="3"/>
    </w:pPr>
    <w:rPr>
      <w:rFonts w:ascii="黑体" w:hAnsi="宋体" w:eastAsia="黑体" w:cs="Times New Roman"/>
      <w:sz w:val="28"/>
      <w:szCs w:val="20"/>
      <w:shd w:val="pct10" w:color="auto" w:fill="FFFFFF"/>
    </w:rPr>
  </w:style>
  <w:style w:type="paragraph" w:styleId="6">
    <w:name w:val="heading 5"/>
    <w:basedOn w:val="1"/>
    <w:next w:val="1"/>
    <w:link w:val="35"/>
    <w:qFormat/>
    <w:uiPriority w:val="0"/>
    <w:pPr>
      <w:keepNext/>
      <w:keepLines/>
      <w:spacing w:line="680" w:lineRule="exact"/>
      <w:outlineLvl w:val="4"/>
    </w:pPr>
    <w:rPr>
      <w:rFonts w:ascii="黑体" w:hAnsi="Times New Roman" w:eastAsia="黑体" w:cs="Times New Roman"/>
      <w:sz w:val="28"/>
      <w:szCs w:val="20"/>
    </w:rPr>
  </w:style>
  <w:style w:type="paragraph" w:styleId="7">
    <w:name w:val="heading 6"/>
    <w:basedOn w:val="1"/>
    <w:next w:val="1"/>
    <w:link w:val="37"/>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38"/>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39"/>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1"/>
    <w:qFormat/>
    <w:uiPriority w:val="0"/>
    <w:pPr>
      <w:keepNext/>
      <w:keepLines/>
      <w:spacing w:before="240" w:after="64" w:line="317" w:lineRule="auto"/>
      <w:outlineLvl w:val="8"/>
    </w:pPr>
    <w:rPr>
      <w:rFonts w:ascii="Arial" w:hAnsi="Arial" w:eastAsia="黑体" w:cs="Times New Roman"/>
      <w:szCs w:val="20"/>
    </w:rPr>
  </w:style>
  <w:style w:type="character" w:default="1" w:styleId="20">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Note Heading"/>
    <w:basedOn w:val="1"/>
    <w:next w:val="1"/>
    <w:link w:val="45"/>
    <w:qFormat/>
    <w:uiPriority w:val="0"/>
    <w:pPr>
      <w:jc w:val="center"/>
    </w:pPr>
    <w:rPr>
      <w:rFonts w:ascii="宋体" w:hAnsi="Times New Roman" w:eastAsia="宋体" w:cs="Times New Roman"/>
      <w:szCs w:val="20"/>
    </w:rPr>
  </w:style>
  <w:style w:type="paragraph" w:styleId="12">
    <w:name w:val="caption"/>
    <w:basedOn w:val="1"/>
    <w:next w:val="1"/>
    <w:qFormat/>
    <w:uiPriority w:val="0"/>
    <w:rPr>
      <w:rFonts w:ascii="Arial" w:hAnsi="Arial" w:eastAsia="黑体" w:cs="Times New Roman"/>
      <w:sz w:val="20"/>
      <w:szCs w:val="20"/>
    </w:rPr>
  </w:style>
  <w:style w:type="paragraph" w:styleId="13">
    <w:name w:val="toc 3"/>
    <w:basedOn w:val="1"/>
    <w:next w:val="1"/>
    <w:qFormat/>
    <w:uiPriority w:val="39"/>
    <w:pPr>
      <w:ind w:left="210"/>
      <w:jc w:val="left"/>
    </w:pPr>
    <w:rPr>
      <w:rFonts w:ascii="Times New Roman" w:hAnsi="Times New Roman" w:eastAsia="宋体" w:cs="Times New Roman"/>
      <w:sz w:val="20"/>
      <w:szCs w:val="20"/>
    </w:rPr>
  </w:style>
  <w:style w:type="paragraph" w:styleId="14">
    <w:name w:val="toc 1"/>
    <w:basedOn w:val="1"/>
    <w:next w:val="1"/>
    <w:qFormat/>
    <w:uiPriority w:val="39"/>
    <w:pPr>
      <w:spacing w:before="360"/>
      <w:jc w:val="left"/>
    </w:pPr>
    <w:rPr>
      <w:rFonts w:ascii="Arial" w:hAnsi="Arial" w:eastAsia="宋体" w:cs="Arial"/>
      <w:b/>
      <w:bCs/>
      <w:caps/>
      <w:sz w:val="24"/>
      <w:szCs w:val="24"/>
    </w:rPr>
  </w:style>
  <w:style w:type="paragraph" w:styleId="15">
    <w:name w:val="Subtitle"/>
    <w:basedOn w:val="1"/>
    <w:next w:val="1"/>
    <w:link w:val="44"/>
    <w:qFormat/>
    <w:uiPriority w:val="0"/>
    <w:pPr>
      <w:spacing w:before="240" w:after="60" w:line="312" w:lineRule="atLeast"/>
      <w:ind w:firstLine="538" w:firstLineChars="192"/>
      <w:jc w:val="center"/>
      <w:outlineLvl w:val="1"/>
    </w:pPr>
    <w:rPr>
      <w:rFonts w:ascii="Cambria" w:hAnsi="Cambria" w:eastAsia="宋体" w:cs="Times New Roman"/>
      <w:b/>
      <w:bCs/>
      <w:kern w:val="28"/>
      <w:sz w:val="32"/>
      <w:szCs w:val="32"/>
    </w:rPr>
  </w:style>
  <w:style w:type="paragraph" w:styleId="16">
    <w:name w:val="toc 2"/>
    <w:basedOn w:val="1"/>
    <w:next w:val="1"/>
    <w:qFormat/>
    <w:uiPriority w:val="39"/>
    <w:pPr>
      <w:spacing w:before="240"/>
      <w:jc w:val="left"/>
    </w:pPr>
    <w:rPr>
      <w:rFonts w:ascii="Times New Roman" w:hAnsi="Times New Roman" w:eastAsia="宋体" w:cs="Times New Roman"/>
      <w:b/>
      <w:bCs/>
      <w:sz w:val="20"/>
      <w:szCs w:val="20"/>
    </w:rPr>
  </w:style>
  <w:style w:type="paragraph" w:styleId="1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link w:val="43"/>
    <w:qFormat/>
    <w:uiPriority w:val="0"/>
    <w:pPr>
      <w:spacing w:before="240" w:after="60"/>
      <w:jc w:val="center"/>
      <w:outlineLvl w:val="0"/>
    </w:pPr>
    <w:rPr>
      <w:rFonts w:ascii="Arial" w:hAnsi="Arial" w:eastAsia="宋体" w:cs="Times New Roman"/>
      <w:b/>
      <w:sz w:val="32"/>
      <w:szCs w:val="20"/>
    </w:rPr>
  </w:style>
  <w:style w:type="character" w:styleId="21">
    <w:name w:val="Strong"/>
    <w:qFormat/>
    <w:uiPriority w:val="0"/>
    <w:rPr>
      <w:b/>
    </w:rPr>
  </w:style>
  <w:style w:type="character" w:styleId="22">
    <w:name w:val="Emphasis"/>
    <w:qFormat/>
    <w:uiPriority w:val="20"/>
    <w:rPr>
      <w:i/>
      <w:iCs/>
    </w:rPr>
  </w:style>
  <w:style w:type="paragraph" w:customStyle="1" w:styleId="23">
    <w:name w:val="首行缩进"/>
    <w:basedOn w:val="1"/>
    <w:link w:val="24"/>
    <w:qFormat/>
    <w:uiPriority w:val="0"/>
    <w:pPr>
      <w:spacing w:line="360" w:lineRule="auto"/>
      <w:ind w:firstLine="480" w:firstLineChars="200"/>
    </w:pPr>
    <w:rPr>
      <w:rFonts w:eastAsia="宋体"/>
      <w:sz w:val="24"/>
      <w:szCs w:val="24"/>
    </w:rPr>
  </w:style>
  <w:style w:type="character" w:customStyle="1" w:styleId="24">
    <w:name w:val="首行缩进 Char"/>
    <w:link w:val="23"/>
    <w:uiPriority w:val="0"/>
    <w:rPr>
      <w:rFonts w:eastAsia="宋体"/>
      <w:sz w:val="24"/>
      <w:szCs w:val="24"/>
    </w:rPr>
  </w:style>
  <w:style w:type="paragraph" w:customStyle="1" w:styleId="25">
    <w:name w:val="J【表中文字】"/>
    <w:basedOn w:val="1"/>
    <w:qFormat/>
    <w:uiPriority w:val="0"/>
    <w:pPr>
      <w:jc w:val="center"/>
      <w:textAlignment w:val="center"/>
    </w:pPr>
    <w:rPr>
      <w:rFonts w:ascii="Times New Roman" w:hAnsi="Times New Roman" w:eastAsia="宋体" w:cs="宋体"/>
      <w:szCs w:val="21"/>
    </w:rPr>
  </w:style>
  <w:style w:type="paragraph" w:customStyle="1" w:styleId="26">
    <w:name w:val="首行缩进正文"/>
    <w:basedOn w:val="1"/>
    <w:qFormat/>
    <w:uiPriority w:val="0"/>
    <w:pPr>
      <w:spacing w:line="640" w:lineRule="exact"/>
      <w:ind w:firstLine="200" w:firstLineChars="200"/>
    </w:pPr>
    <w:rPr>
      <w:rFonts w:ascii="宋体" w:hAnsi="宋体" w:eastAsia="宋体" w:cs="Times New Roman"/>
      <w:sz w:val="28"/>
      <w:szCs w:val="28"/>
    </w:rPr>
  </w:style>
  <w:style w:type="paragraph" w:customStyle="1" w:styleId="27">
    <w:name w:val="不会标题 4"/>
    <w:basedOn w:val="4"/>
    <w:qFormat/>
    <w:uiPriority w:val="0"/>
    <w:pPr>
      <w:outlineLvl w:val="3"/>
    </w:pPr>
    <w:rPr>
      <w:rFonts w:cs="Times New Roman"/>
    </w:rPr>
  </w:style>
  <w:style w:type="character" w:customStyle="1" w:styleId="28">
    <w:name w:val="标题 3 Char"/>
    <w:basedOn w:val="20"/>
    <w:link w:val="4"/>
    <w:uiPriority w:val="0"/>
    <w:rPr>
      <w:rFonts w:ascii="黑体" w:hAnsi="Times New Roman" w:eastAsia="黑体"/>
      <w:sz w:val="28"/>
      <w:szCs w:val="20"/>
    </w:rPr>
  </w:style>
  <w:style w:type="paragraph" w:customStyle="1" w:styleId="29">
    <w:name w:val="J【表头】"/>
    <w:basedOn w:val="1"/>
    <w:qFormat/>
    <w:uiPriority w:val="0"/>
    <w:pPr>
      <w:keepNext/>
      <w:tabs>
        <w:tab w:val="center" w:pos="240"/>
        <w:tab w:val="left" w:pos="3970"/>
      </w:tabs>
      <w:wordWrap w:val="0"/>
      <w:spacing w:line="360" w:lineRule="auto"/>
      <w:ind w:left="3970" w:right="100" w:rightChars="100"/>
      <w:jc w:val="center"/>
    </w:pPr>
    <w:rPr>
      <w:rFonts w:ascii="宋体" w:hAnsi="宋体" w:eastAsia="宋体" w:cs="Times New Roman"/>
      <w:b/>
      <w:szCs w:val="21"/>
    </w:rPr>
  </w:style>
  <w:style w:type="paragraph" w:customStyle="1" w:styleId="30">
    <w:name w:val="【公式】"/>
    <w:basedOn w:val="1"/>
    <w:semiHidden/>
    <w:qFormat/>
    <w:uiPriority w:val="0"/>
    <w:pPr>
      <w:spacing w:line="360" w:lineRule="auto"/>
      <w:ind w:left="100" w:leftChars="100" w:right="100" w:rightChars="100" w:firstLine="200" w:firstLineChars="200"/>
      <w:jc w:val="center"/>
      <w:textAlignment w:val="center"/>
    </w:pPr>
    <w:rPr>
      <w:rFonts w:ascii="Times New Roman" w:hAnsi="Times New Roman" w:eastAsia="宋体" w:cs="宋体"/>
      <w:spacing w:val="16"/>
      <w:sz w:val="24"/>
      <w:szCs w:val="20"/>
    </w:rPr>
  </w:style>
  <w:style w:type="character" w:customStyle="1" w:styleId="31">
    <w:name w:val="font31"/>
    <w:basedOn w:val="20"/>
    <w:unhideWhenUsed/>
    <w:qFormat/>
    <w:uiPriority w:val="0"/>
    <w:rPr>
      <w:rFonts w:hint="eastAsia" w:ascii="宋体" w:hAnsi="宋体" w:eastAsia="宋体"/>
      <w:color w:val="000000"/>
      <w:sz w:val="24"/>
      <w:vertAlign w:val="superscript"/>
    </w:rPr>
  </w:style>
  <w:style w:type="character" w:customStyle="1" w:styleId="32">
    <w:name w:val="标题 1 Char"/>
    <w:basedOn w:val="20"/>
    <w:link w:val="2"/>
    <w:uiPriority w:val="0"/>
    <w:rPr>
      <w:rFonts w:ascii="黑体" w:hAnsi="Times New Roman" w:eastAsia="楷体_GB2312" w:cs="Times New Roman"/>
      <w:b/>
      <w:kern w:val="44"/>
      <w:sz w:val="32"/>
      <w:szCs w:val="20"/>
    </w:rPr>
  </w:style>
  <w:style w:type="character" w:customStyle="1" w:styleId="33">
    <w:name w:val="标题 2 Char"/>
    <w:basedOn w:val="20"/>
    <w:link w:val="3"/>
    <w:qFormat/>
    <w:uiPriority w:val="0"/>
    <w:rPr>
      <w:rFonts w:ascii="黑体" w:hAnsi="Arial" w:eastAsia="黑体" w:cs="Times New Roman"/>
      <w:sz w:val="28"/>
      <w:szCs w:val="20"/>
    </w:rPr>
  </w:style>
  <w:style w:type="character" w:customStyle="1" w:styleId="34">
    <w:name w:val="标题 4 Char"/>
    <w:basedOn w:val="20"/>
    <w:link w:val="5"/>
    <w:uiPriority w:val="0"/>
    <w:rPr>
      <w:rFonts w:ascii="黑体" w:hAnsi="宋体" w:eastAsia="黑体" w:cs="Times New Roman"/>
      <w:sz w:val="28"/>
      <w:szCs w:val="20"/>
    </w:rPr>
  </w:style>
  <w:style w:type="character" w:customStyle="1" w:styleId="35">
    <w:name w:val="标题 5 Char"/>
    <w:basedOn w:val="20"/>
    <w:link w:val="6"/>
    <w:uiPriority w:val="0"/>
    <w:rPr>
      <w:rFonts w:ascii="黑体" w:hAnsi="Times New Roman" w:eastAsia="黑体" w:cs="Times New Roman"/>
      <w:sz w:val="28"/>
      <w:szCs w:val="20"/>
    </w:rPr>
  </w:style>
  <w:style w:type="character" w:customStyle="1" w:styleId="36">
    <w:name w:val="标题 6 Char"/>
    <w:basedOn w:val="20"/>
    <w:semiHidden/>
    <w:qFormat/>
    <w:uiPriority w:val="9"/>
    <w:rPr>
      <w:rFonts w:asciiTheme="majorHAnsi" w:hAnsiTheme="majorHAnsi" w:eastAsiaTheme="majorEastAsia" w:cstheme="majorBidi"/>
      <w:b/>
      <w:bCs/>
      <w:sz w:val="24"/>
      <w:szCs w:val="24"/>
    </w:rPr>
  </w:style>
  <w:style w:type="character" w:customStyle="1" w:styleId="37">
    <w:name w:val="标题 6 Char1"/>
    <w:link w:val="7"/>
    <w:qFormat/>
    <w:uiPriority w:val="0"/>
    <w:rPr>
      <w:rFonts w:ascii="Arial" w:hAnsi="Arial" w:eastAsia="黑体" w:cs="Times New Roman"/>
      <w:b/>
      <w:sz w:val="24"/>
      <w:szCs w:val="20"/>
    </w:rPr>
  </w:style>
  <w:style w:type="character" w:customStyle="1" w:styleId="38">
    <w:name w:val="标题 7 Char"/>
    <w:basedOn w:val="20"/>
    <w:link w:val="8"/>
    <w:qFormat/>
    <w:uiPriority w:val="0"/>
    <w:rPr>
      <w:rFonts w:ascii="Times New Roman" w:hAnsi="Times New Roman" w:eastAsia="宋体" w:cs="Times New Roman"/>
      <w:b/>
      <w:sz w:val="24"/>
      <w:szCs w:val="20"/>
    </w:rPr>
  </w:style>
  <w:style w:type="character" w:customStyle="1" w:styleId="39">
    <w:name w:val="标题 8 Char"/>
    <w:basedOn w:val="20"/>
    <w:link w:val="9"/>
    <w:uiPriority w:val="0"/>
    <w:rPr>
      <w:rFonts w:ascii="Arial" w:hAnsi="Arial" w:eastAsia="黑体" w:cs="Times New Roman"/>
      <w:sz w:val="24"/>
      <w:szCs w:val="20"/>
    </w:rPr>
  </w:style>
  <w:style w:type="character" w:customStyle="1" w:styleId="40">
    <w:name w:val="标题 9 Char"/>
    <w:basedOn w:val="20"/>
    <w:semiHidden/>
    <w:qFormat/>
    <w:uiPriority w:val="9"/>
    <w:rPr>
      <w:rFonts w:asciiTheme="majorHAnsi" w:hAnsiTheme="majorHAnsi" w:eastAsiaTheme="majorEastAsia" w:cstheme="majorBidi"/>
      <w:szCs w:val="21"/>
    </w:rPr>
  </w:style>
  <w:style w:type="character" w:customStyle="1" w:styleId="41">
    <w:name w:val="标题 9 Char1"/>
    <w:link w:val="10"/>
    <w:uiPriority w:val="0"/>
    <w:rPr>
      <w:rFonts w:ascii="Arial" w:hAnsi="Arial" w:eastAsia="黑体" w:cs="Times New Roman"/>
      <w:szCs w:val="20"/>
    </w:rPr>
  </w:style>
  <w:style w:type="character" w:customStyle="1" w:styleId="42">
    <w:name w:val="标题 Char"/>
    <w:basedOn w:val="20"/>
    <w:qFormat/>
    <w:uiPriority w:val="10"/>
    <w:rPr>
      <w:rFonts w:eastAsia="宋体" w:asciiTheme="majorHAnsi" w:hAnsiTheme="majorHAnsi" w:cstheme="majorBidi"/>
      <w:b/>
      <w:bCs/>
      <w:sz w:val="32"/>
      <w:szCs w:val="32"/>
    </w:rPr>
  </w:style>
  <w:style w:type="character" w:customStyle="1" w:styleId="43">
    <w:name w:val="标题 Char1"/>
    <w:link w:val="18"/>
    <w:qFormat/>
    <w:uiPriority w:val="0"/>
    <w:rPr>
      <w:rFonts w:ascii="Arial" w:hAnsi="Arial" w:eastAsia="宋体" w:cs="Times New Roman"/>
      <w:b/>
      <w:sz w:val="32"/>
      <w:szCs w:val="20"/>
    </w:rPr>
  </w:style>
  <w:style w:type="character" w:customStyle="1" w:styleId="44">
    <w:name w:val="副标题 Char"/>
    <w:basedOn w:val="20"/>
    <w:link w:val="15"/>
    <w:qFormat/>
    <w:uiPriority w:val="0"/>
    <w:rPr>
      <w:rFonts w:ascii="Cambria" w:hAnsi="Cambria" w:eastAsia="宋体" w:cs="Times New Roman"/>
      <w:b/>
      <w:bCs/>
      <w:kern w:val="28"/>
      <w:sz w:val="32"/>
      <w:szCs w:val="32"/>
    </w:rPr>
  </w:style>
  <w:style w:type="character" w:customStyle="1" w:styleId="45">
    <w:name w:val="注释标题 Char"/>
    <w:basedOn w:val="20"/>
    <w:link w:val="11"/>
    <w:uiPriority w:val="0"/>
    <w:rPr>
      <w:rFonts w:ascii="宋体" w:hAnsi="Times New Roman" w:eastAsia="宋体" w:cs="Times New Roman"/>
      <w:szCs w:val="20"/>
    </w:rPr>
  </w:style>
  <w:style w:type="paragraph" w:styleId="46">
    <w:name w:val="No Spacing"/>
    <w:link w:val="47"/>
    <w:qFormat/>
    <w:uiPriority w:val="1"/>
    <w:pPr>
      <w:widowControl w:val="0"/>
      <w:ind w:firstLine="200" w:firstLineChars="200"/>
      <w:jc w:val="both"/>
    </w:pPr>
    <w:rPr>
      <w:rFonts w:ascii="宋体" w:hAnsi="Times New Roman" w:eastAsia="宋体" w:cs="Times New Roman"/>
      <w:kern w:val="2"/>
      <w:sz w:val="28"/>
      <w:szCs w:val="24"/>
      <w:lang w:val="en-US" w:eastAsia="zh-CN" w:bidi="ar-SA"/>
    </w:rPr>
  </w:style>
  <w:style w:type="character" w:customStyle="1" w:styleId="47">
    <w:name w:val="无间隔 Char"/>
    <w:link w:val="46"/>
    <w:uiPriority w:val="1"/>
    <w:rPr>
      <w:rFonts w:ascii="宋体" w:hAnsi="Times New Roman" w:eastAsia="宋体" w:cs="Times New Roman"/>
      <w:sz w:val="28"/>
      <w:szCs w:val="24"/>
    </w:rPr>
  </w:style>
  <w:style w:type="paragraph" w:styleId="48">
    <w:name w:val="List Paragraph"/>
    <w:basedOn w:val="1"/>
    <w:qFormat/>
    <w:uiPriority w:val="0"/>
    <w:pPr>
      <w:ind w:firstLine="420" w:firstLineChars="200"/>
    </w:pPr>
    <w:rPr>
      <w:rFonts w:ascii="Calibri" w:hAnsi="Calibri" w:eastAsia="宋体" w:cs="Times New Roman"/>
    </w:rPr>
  </w:style>
  <w:style w:type="paragraph" w:styleId="49">
    <w:name w:val="Quote"/>
    <w:basedOn w:val="1"/>
    <w:next w:val="1"/>
    <w:link w:val="50"/>
    <w:qFormat/>
    <w:uiPriority w:val="29"/>
    <w:pPr>
      <w:spacing w:line="640" w:lineRule="exact"/>
      <w:ind w:firstLine="538" w:firstLineChars="192"/>
    </w:pPr>
    <w:rPr>
      <w:rFonts w:ascii="宋体" w:hAnsi="宋体" w:eastAsia="宋体" w:cs="Times New Roman"/>
      <w:i/>
      <w:iCs/>
      <w:color w:val="000000"/>
      <w:sz w:val="28"/>
      <w:szCs w:val="28"/>
    </w:rPr>
  </w:style>
  <w:style w:type="character" w:customStyle="1" w:styleId="50">
    <w:name w:val="引用 Char"/>
    <w:basedOn w:val="20"/>
    <w:link w:val="49"/>
    <w:uiPriority w:val="29"/>
    <w:rPr>
      <w:rFonts w:ascii="宋体" w:hAnsi="宋体" w:eastAsia="宋体" w:cs="Times New Roman"/>
      <w:i/>
      <w:iCs/>
      <w:color w:val="000000"/>
      <w:sz w:val="28"/>
      <w:szCs w:val="28"/>
    </w:rPr>
  </w:style>
  <w:style w:type="character" w:customStyle="1" w:styleId="51">
    <w:name w:val="Intense Emphasis"/>
    <w:qFormat/>
    <w:uiPriority w:val="21"/>
    <w:rPr>
      <w:b/>
      <w:bCs/>
      <w:i/>
      <w:iCs/>
      <w:color w:val="4F81BD"/>
    </w:rPr>
  </w:style>
  <w:style w:type="character" w:customStyle="1" w:styleId="52">
    <w:name w:val="Intense Reference"/>
    <w:qFormat/>
    <w:uiPriority w:val="32"/>
    <w:rPr>
      <w:b/>
      <w:bCs/>
      <w:smallCaps/>
      <w:color w:val="C0504D"/>
      <w:spacing w:val="5"/>
      <w:u w:val="single"/>
    </w:rPr>
  </w:style>
  <w:style w:type="character" w:customStyle="1" w:styleId="53">
    <w:name w:val="Book Title"/>
    <w:qFormat/>
    <w:uiPriority w:val="33"/>
    <w:rPr>
      <w:b/>
      <w:bCs/>
      <w:smallCaps/>
      <w:spacing w:val="5"/>
    </w:rPr>
  </w:style>
  <w:style w:type="paragraph" w:customStyle="1" w:styleId="54">
    <w:name w:val="TOC Heading"/>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205</Words>
  <Characters>1170</Characters>
  <Lines>9</Lines>
  <Paragraphs>2</Paragraphs>
  <TotalTime>4</TotalTime>
  <ScaleCrop>false</ScaleCrop>
  <LinksUpToDate>false</LinksUpToDate>
  <CharactersWithSpaces>1373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2017-06-21T01:18:00Z</dcterms:created>
  <dc:creator>微软用户</dc:creator>
  <cp:lastModifiedBy>子由</cp:lastModifiedBy>
  <dcterms:modified xsi:type="dcterms:W3CDTF">2019-07-22T08:47:17Z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